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40"/>
      </w:pPr>
      <w:r>
        <w:rPr>
          <w:rFonts w:ascii="Arial" w:hAnsi="Arial"/>
          <w:b/>
          <w:color w:val="13263F"/>
          <w:sz w:val="52"/>
        </w:rPr>
        <w:t>INDUSTRIA FARMACÉUTICA</w:t>
      </w:r>
    </w:p>
    <w:p>
      <w:pPr>
        <w:keepNext/>
        <w:spacing w:after="200"/>
      </w:pPr>
      <w:r>
        <w:rPr>
          <w:rFonts w:ascii="Arial" w:hAnsi="Arial"/>
          <w:b/>
          <w:color w:val="8B681F"/>
          <w:sz w:val="17"/>
        </w:rPr>
        <w:t>CASOS DE MANAGEMENT   /   FAR-01</w:t>
      </w:r>
    </w:p>
    <w:p>
      <w:pPr>
        <w:pStyle w:val="Title"/>
      </w:pPr>
      <w:r>
        <w:t>Evaluación y metas de management en cuatro días</w:t>
      </w:r>
    </w:p>
    <w:p>
      <w:pPr>
        <w:pStyle w:val="Subtitle"/>
      </w:pPr>
      <w:r>
        <w:t>Farmacéutica canadiense con operaciones en América Latina</w:t>
      </w:r>
    </w:p>
    <w:p>
      <w:pPr>
        <w:keepNext/>
        <w:spacing w:after="220"/>
      </w:pPr>
      <w:r>
        <w:rPr>
          <w:rFonts w:ascii="Arial" w:hAnsi="Arial"/>
          <w:b/>
          <w:color w:val="8B681F"/>
          <w:sz w:val="17"/>
        </w:rPr>
        <w:t>PRODUCTIVIDAD   |   CALIDAD   |   SERVICIO   |   INNOVACIÓN</w:t>
      </w:r>
    </w:p>
    <w:p>
      <w:pPr>
        <w:spacing w:after="260"/>
      </w:pPr>
      <w:r>
        <w:rPr>
          <w:i/>
          <w:sz w:val="22"/>
        </w:rPr>
        <w:t>En cuatro días se reunieron calificaciones de desempeño, una huella digital de talentos y metas de management por persona. Participó también personal de planta del turno nocturno, incluyendo personas que no sabían leer ni escribir y que definieron sus propias metas.</w:t>
      </w:r>
    </w:p>
    <w:p>
      <w:pPr>
        <w:sectPr>
          <w:footerReference w:type="default" r:id="rId9"/>
          <w:pgSz w:w="12240" w:h="15840"/>
          <w:pgMar w:top="792" w:right="1008" w:bottom="792" w:left="1008" w:header="317" w:footer="346" w:gutter="0"/>
          <w:cols w:space="720"/>
          <w:docGrid w:linePitch="360"/>
        </w:sectPr>
      </w:pPr>
    </w:p>
    <w:p>
      <w:pPr>
        <w:pStyle w:val="Heading1"/>
      </w:pPr>
      <w:r>
        <w:t>CONTEXTO Y PARTICIPACIÓN</w:t>
      </w:r>
    </w:p>
    <w:p>
      <w:r>
        <w:rPr>
          <w:b/>
        </w:rPr>
        <w:t xml:space="preserve">Un objetivo regional de management. </w:t>
      </w:r>
      <w:r>
        <w:t>La intervención se desarrolló para una farmacéutica canadiense con operaciones en América Latina. El objetivo era reunir información de desempeño y talento en México y unificar los criterios de los puestos entre México y las distintas operaciones de la compañía en la región.</w:t>
      </w:r>
    </w:p>
    <w:p>
      <w:r>
        <w:rPr>
          <w:b/>
        </w:rPr>
        <w:t xml:space="preserve">Cuatro dimensiones por persona. </w:t>
      </w:r>
      <w:r>
        <w:t>La evaluación reunió calificaciones de productividad, calidad, servicio e innovación de cada persona. El alcance individual del trabajo permitió disponer de una referencia de desempeño en esas cuatro dimensiones para cada integrante de la operación evaluada.</w:t>
      </w:r>
    </w:p>
    <w:p>
      <w:r>
        <w:rPr>
          <w:b/>
        </w:rPr>
        <w:t xml:space="preserve">Personal de planta en el turno nocturno. </w:t>
      </w:r>
      <w:r>
        <w:t>El trabajo incluyó a personal de planta del turno nocturno, incluso a personas que no sabían leer ni escribir. Ellas mismas definieron metas de productividad, calidad, servicio e innovación para su trabajo.</w:t>
      </w:r>
    </w:p>
    <w:p>
      <w:pPr>
        <w:spacing w:after="0" w:line="20" w:lineRule="exact"/>
      </w:pPr>
      <w:r>
        <w:br w:type="column"/>
      </w:r>
    </w:p>
    <w:p>
      <w:pPr>
        <w:pStyle w:val="Heading1"/>
      </w:pPr>
      <w:r>
        <w:t>ENTREGABLES Y RESULTADO</w:t>
      </w:r>
    </w:p>
    <w:p>
      <w:r>
        <w:rPr>
          <w:b/>
        </w:rPr>
        <w:t xml:space="preserve">Huella digital de talentos. </w:t>
      </w:r>
      <w:r>
        <w:t>Además de las calificaciones de desempeño, se integró una huella digital de talentos de cada persona. Este entregable formó parte del conjunto de información individual reunido durante la intervención.</w:t>
      </w:r>
    </w:p>
    <w:p>
      <w:r>
        <w:rPr>
          <w:b/>
        </w:rPr>
        <w:t xml:space="preserve">Funciones y metas de management. </w:t>
      </w:r>
      <w:r>
        <w:t>Se definieron metas por persona de productividad, calidad, servicio e innovación. Desde México se lanzaron las funciones y las metas a las operaciones de la compañía en América Latina.</w:t>
      </w:r>
    </w:p>
    <w:p>
      <w:r>
        <w:rPr>
          <w:b/>
        </w:rPr>
        <w:t xml:space="preserve">El logro en cuatro días. </w:t>
      </w:r>
      <w:r>
        <w:t xml:space="preserve">En </w:t>
      </w:r>
      <w:r>
        <w:rPr>
          <w:b/>
        </w:rPr>
        <w:t>cuatro días</w:t>
      </w:r>
      <w:r>
        <w:t xml:space="preserve"> se integraron las calificaciones, la huella digital de talentos y las metas de management por persona. La participación del personal de planta del turno nocturno formó parte de este resultado.</w:t>
      </w:r>
    </w:p>
    <w:p>
      <w:pPr>
        <w:sectPr>
          <w:type w:val="continuous"/>
          <w:pgSz w:w="12240" w:h="15840"/>
          <w:pgMar w:top="792" w:right="1008" w:bottom="792" w:left="1008" w:header="317" w:footer="346" w:gutter="0"/>
          <w:cols w:space="440" w:num="2" w:equalWidth="1"/>
          <w:docGrid w:linePitch="360"/>
        </w:sectPr>
      </w:pPr>
    </w:p>
    <w:p>
      <w:pPr>
        <w:keepNext/>
        <w:spacing w:after="200"/>
      </w:pPr>
      <w:r>
        <w:rPr>
          <w:rFonts w:ascii="Arial" w:hAnsi="Arial"/>
          <w:b/>
          <w:color w:val="8B681F"/>
          <w:sz w:val="17"/>
        </w:rPr>
        <w:t>CASOS DE MANAGEMENT   /   FAR-01</w:t>
      </w:r>
    </w:p>
    <w:p>
      <w:pPr>
        <w:pStyle w:val="Title"/>
      </w:pPr>
      <w:r>
        <w:t>Todo lo realizado</w:t>
      </w:r>
    </w:p>
    <w:p>
      <w:pPr>
        <w:pStyle w:val="Subtitle"/>
      </w:pPr>
      <w:r>
        <w:t>Entregables por persona y despliegue regional</w:t>
      </w:r>
    </w:p>
    <w:p>
      <w:pPr>
        <w:keepNext/>
        <w:spacing w:after="220"/>
      </w:pPr>
      <w:r>
        <w:rPr>
          <w:rFonts w:ascii="Arial" w:hAnsi="Arial"/>
          <w:b/>
          <w:color w:val="8B681F"/>
          <w:sz w:val="17"/>
        </w:rPr>
        <w:t>CUATRO DÍAS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3096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Entregable</w:t>
            </w:r>
          </w:p>
        </w:tc>
        <w:tc>
          <w:tcPr>
            <w:tcW w:type="dxa" w:w="7128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Resultado</w:t>
            </w:r>
          </w:p>
        </w:tc>
      </w:tr>
      <w:tr>
        <w:trPr/>
        <w:tc>
          <w:tcPr>
            <w:tcW w:type="dxa" w:w="3096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Productividad</w:t>
            </w:r>
          </w:p>
        </w:tc>
        <w:tc>
          <w:tcPr>
            <w:tcW w:type="dxa" w:w="7128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Calificación y definición de metas por persona.</w:t>
            </w:r>
          </w:p>
        </w:tc>
      </w:tr>
      <w:tr>
        <w:trPr/>
        <w:tc>
          <w:tcPr>
            <w:tcW w:type="dxa" w:w="3096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Calidad</w:t>
            </w:r>
          </w:p>
        </w:tc>
        <w:tc>
          <w:tcPr>
            <w:tcW w:type="dxa" w:w="7128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Calificación y definición de metas por persona.</w:t>
            </w:r>
          </w:p>
        </w:tc>
      </w:tr>
      <w:tr>
        <w:trPr/>
        <w:tc>
          <w:tcPr>
            <w:tcW w:type="dxa" w:w="3096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Servicio</w:t>
            </w:r>
          </w:p>
        </w:tc>
        <w:tc>
          <w:tcPr>
            <w:tcW w:type="dxa" w:w="7128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Calificación y definición de metas por persona.</w:t>
            </w:r>
          </w:p>
        </w:tc>
      </w:tr>
      <w:tr>
        <w:trPr/>
        <w:tc>
          <w:tcPr>
            <w:tcW w:type="dxa" w:w="3096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Innovación</w:t>
            </w:r>
          </w:p>
        </w:tc>
        <w:tc>
          <w:tcPr>
            <w:tcW w:type="dxa" w:w="7128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Calificación y definición de metas por persona.</w:t>
            </w:r>
          </w:p>
        </w:tc>
      </w:tr>
      <w:tr>
        <w:trPr/>
        <w:tc>
          <w:tcPr>
            <w:tcW w:type="dxa" w:w="3096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Huella digital de talentos</w:t>
            </w:r>
          </w:p>
        </w:tc>
        <w:tc>
          <w:tcPr>
            <w:tcW w:type="dxa" w:w="7128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Registro individual de talentos de cada persona.</w:t>
            </w:r>
          </w:p>
        </w:tc>
      </w:tr>
      <w:tr>
        <w:trPr/>
        <w:tc>
          <w:tcPr>
            <w:tcW w:type="dxa" w:w="3096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Funciones y metas</w:t>
            </w:r>
          </w:p>
        </w:tc>
        <w:tc>
          <w:tcPr>
            <w:tcW w:type="dxa" w:w="7128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Lanzamiento desde México hacia las operaciones latinoamericanas.</w:t>
            </w:r>
          </w:p>
        </w:tc>
      </w:tr>
      <w:tr>
        <w:trPr/>
        <w:tc>
          <w:tcPr>
            <w:tcW w:type="dxa" w:w="3096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Personal de planta del turno nocturno</w:t>
            </w:r>
          </w:p>
        </w:tc>
        <w:tc>
          <w:tcPr>
            <w:tcW w:type="dxa" w:w="7128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También participaron personas que no sabían leer ni escribir y que definieron sus propias metas en las cuatro dimensiones.</w:t>
            </w:r>
          </w:p>
        </w:tc>
      </w:tr>
      <w:tr>
        <w:trPr/>
        <w:tc>
          <w:tcPr>
            <w:tcW w:type="dxa" w:w="3096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Plazo del trabajo</w:t>
            </w:r>
          </w:p>
        </w:tc>
        <w:tc>
          <w:tcPr>
            <w:tcW w:type="dxa" w:w="7128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7"/>
              </w:rPr>
              <w:t>Cuatro días para integrar las calificaciones, los talentos y las metas por persona.</w:t>
            </w:r>
          </w:p>
        </w:tc>
      </w:tr>
    </w:tbl>
    <w:p>
      <w:pPr>
        <w:sectPr>
          <w:pgSz w:w="12240" w:h="15840"/>
          <w:pgMar w:top="792" w:right="1008" w:bottom="792" w:left="1008" w:header="317" w:footer="346" w:gutter="0"/>
          <w:cols w:space="440" w:num="1" w:equalWidth="1"/>
          <w:docGrid w:linePitch="360"/>
        </w:sectPr>
      </w:pPr>
    </w:p>
    <w:p>
      <w:pPr>
        <w:keepNext/>
        <w:spacing w:after="200"/>
      </w:pPr>
      <w:r>
        <w:rPr>
          <w:rFonts w:ascii="Arial" w:hAnsi="Arial"/>
          <w:b/>
          <w:color w:val="8B681F"/>
          <w:sz w:val="17"/>
        </w:rPr>
        <w:t>CASOS DE MANAGEMENT   /   FAR-01</w:t>
      </w:r>
    </w:p>
    <w:p>
      <w:pPr>
        <w:pStyle w:val="Title"/>
      </w:pPr>
      <w:r>
        <w:t>INDUSTRIA FARMACÉUTICA</w:t>
      </w:r>
    </w:p>
    <w:p>
      <w:pPr>
        <w:pStyle w:val="Subtitle"/>
      </w:pPr>
      <w:r>
        <w:t>Países de la red comercial actual y despliegue desde México</w:t>
      </w:r>
    </w:p>
    <w:p>
      <w:pPr>
        <w:keepNext/>
        <w:spacing w:after="220"/>
      </w:pPr>
      <w:r>
        <w:rPr>
          <w:rFonts w:ascii="Arial" w:hAnsi="Arial"/>
          <w:b/>
          <w:color w:val="8B681F"/>
          <w:sz w:val="17"/>
        </w:rPr>
        <w:t>AMÉRICA LATINA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3096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País</w:t>
            </w:r>
          </w:p>
        </w:tc>
        <w:tc>
          <w:tcPr>
            <w:tcW w:type="dxa" w:w="7128"/>
            <w:shd w:fill="13263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Referencia en el mapa</w:t>
            </w:r>
          </w:p>
        </w:tc>
      </w:tr>
      <w:tr>
        <w:trPr/>
        <w:tc>
          <w:tcPr>
            <w:tcW w:type="dxa" w:w="3096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México</w:t>
            </w:r>
          </w:p>
        </w:tc>
        <w:tc>
          <w:tcPr>
            <w:tcW w:type="dxa" w:w="7128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México como origen de las funciones y metas</w:t>
            </w:r>
          </w:p>
        </w:tc>
      </w:tr>
      <w:tr>
        <w:trPr/>
        <w:tc>
          <w:tcPr>
            <w:tcW w:type="dxa" w:w="3096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El Salvador</w:t>
            </w:r>
          </w:p>
        </w:tc>
        <w:tc>
          <w:tcPr>
            <w:tcW w:type="dxa" w:w="7128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País con presencia comercial actual</w:t>
            </w:r>
          </w:p>
        </w:tc>
      </w:tr>
      <w:tr>
        <w:trPr/>
        <w:tc>
          <w:tcPr>
            <w:tcW w:type="dxa" w:w="3096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Nicaragua</w:t>
            </w:r>
          </w:p>
        </w:tc>
        <w:tc>
          <w:tcPr>
            <w:tcW w:type="dxa" w:w="7128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País con presencia comercial actual</w:t>
            </w:r>
          </w:p>
        </w:tc>
      </w:tr>
      <w:tr>
        <w:trPr/>
        <w:tc>
          <w:tcPr>
            <w:tcW w:type="dxa" w:w="3096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Costa Rica</w:t>
            </w:r>
          </w:p>
        </w:tc>
        <w:tc>
          <w:tcPr>
            <w:tcW w:type="dxa" w:w="7128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País con presencia comercial actual</w:t>
            </w:r>
          </w:p>
        </w:tc>
      </w:tr>
      <w:tr>
        <w:trPr/>
        <w:tc>
          <w:tcPr>
            <w:tcW w:type="dxa" w:w="3096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Panamá</w:t>
            </w:r>
          </w:p>
        </w:tc>
        <w:tc>
          <w:tcPr>
            <w:tcW w:type="dxa" w:w="7128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País con presencia comercial actual</w:t>
            </w:r>
          </w:p>
        </w:tc>
      </w:tr>
      <w:tr>
        <w:trPr/>
        <w:tc>
          <w:tcPr>
            <w:tcW w:type="dxa" w:w="3096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República Dominicana</w:t>
            </w:r>
          </w:p>
        </w:tc>
        <w:tc>
          <w:tcPr>
            <w:tcW w:type="dxa" w:w="7128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País con presencia comercial actual</w:t>
            </w:r>
          </w:p>
        </w:tc>
      </w:tr>
      <w:tr>
        <w:trPr/>
        <w:tc>
          <w:tcPr>
            <w:tcW w:type="dxa" w:w="3096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Colombia</w:t>
            </w:r>
          </w:p>
        </w:tc>
        <w:tc>
          <w:tcPr>
            <w:tcW w:type="dxa" w:w="7128"/>
            <w:shd w:fill="EDF1F7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País con presencia comercial actual</w:t>
            </w:r>
          </w:p>
        </w:tc>
      </w:tr>
      <w:tr>
        <w:trPr/>
        <w:tc>
          <w:tcPr>
            <w:tcW w:type="dxa" w:w="3096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Chile</w:t>
            </w:r>
          </w:p>
        </w:tc>
        <w:tc>
          <w:tcPr>
            <w:tcW w:type="dxa" w:w="7128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20" w:line="254" w:lineRule="auto"/>
            </w:pPr>
            <w:r>
              <w:rPr>
                <w:rFonts w:ascii="Arial" w:hAnsi="Arial"/>
                <w:b w:val="0"/>
                <w:color w:val="13263F"/>
                <w:sz w:val="18"/>
              </w:rPr>
              <w:t>País con presencia comercial actual</w:t>
            </w:r>
          </w:p>
        </w:tc>
      </w:tr>
    </w:tbl>
    <w:p>
      <w:pPr>
        <w:pStyle w:val="Heading1"/>
        <w:spacing w:before="240" w:after="60"/>
      </w:pPr>
      <w:r>
        <w:t>Desde México hacia América Latina</w:t>
      </w:r>
    </w:p>
    <w:p>
      <w:pPr>
        <w:spacing w:after="40"/>
      </w:pPr>
      <w:r>
        <w:drawing>
          <wp:inline xmlns:a="http://schemas.openxmlformats.org/drawingml/2006/main" xmlns:pic="http://schemas.openxmlformats.org/drawingml/2006/picture">
            <wp:extent cx="6126480" cy="3430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a-latam-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30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after="80"/>
      </w:pPr>
      <w:r>
        <w:t>El mapa utiliza los países con presencia comercial actual como referencia geográfica. Las flechas ilustran el despliegue de funciones y metas desde México relatado por Sol D’Antin; no identifican los destinos históricos del proyecto.</w:t>
      </w:r>
    </w:p>
    <w:p>
      <w:pPr>
        <w:pStyle w:val="Caption"/>
        <w:spacing w:after="40"/>
      </w:pPr>
      <w:r>
        <w:t>Fuente de países: Apotex Health Corp, prospecto de mayo de 2026, página impresa 76. Base cartográfica: Natural Earth.</w:t>
      </w:r>
    </w:p>
    <w:p>
      <w:pPr>
        <w:spacing w:after="0"/>
      </w:pPr>
      <w:hyperlink r:id="rId11">
        <w:r>
          <w:rPr>
            <w:color w:val="13263F"/>
            <w:u w:val="single"/>
          </w:rPr>
          <w:t>Consultar fuente de la presencia comercial actual</w:t>
        </w:r>
      </w:hyperlink>
    </w:p>
    <w:sectPr w:rsidR="00FC693F" w:rsidRPr="0006063C" w:rsidSect="00034616">
      <w:pgSz w:w="12240" w:h="15840"/>
      <w:pgMar w:top="792" w:right="1008" w:bottom="792" w:left="1008" w:header="317" w:footer="346" w:gutter="0"/>
      <w:cols w:space="440" w:num="1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67286"/>
        <w:sz w:val="15"/>
      </w:rPr>
      <w:t>SOL D’ANTIN   |   COMPETITIVIDAD POSITIVA   |   COMPILACIÓN PRIVADA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69" w:lineRule="auto"/>
    </w:pPr>
    <w:rPr>
      <w:rFonts w:ascii="Cambria" w:hAnsi="Cambria" w:cs="Cambria" w:eastAsia="Cambria"/>
      <w:color w:val="1326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60" w:line="269" w:lineRule="auto"/>
    </w:pPr>
    <w:rPr>
      <w:rFonts w:ascii="Arial" w:hAnsi="Arial" w:cs="Arial" w:eastAsia="Arial"/>
      <w:color w:val="13263F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0" w:line="269" w:lineRule="auto"/>
      <w:outlineLvl w:val="0"/>
    </w:pPr>
    <w:rPr>
      <w:rFonts w:ascii="Arial" w:hAnsi="Arial" w:cs="Arial" w:eastAsia="Arial"/>
      <w:b/>
      <w:bCs/>
      <w:color w:val="13263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/>
      <w:contextualSpacing/>
    </w:pPr>
    <w:rPr>
      <w:rFonts w:ascii="Cambria" w:hAnsi="Cambria" w:cs="Cambria" w:eastAsia="Cambria"/>
      <w:color w:val="13263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60" w:line="269" w:lineRule="auto"/>
    </w:pPr>
    <w:rPr>
      <w:rFonts w:ascii="Arial" w:hAnsi="Arial" w:cs="Arial" w:eastAsia="Arial"/>
      <w:i/>
      <w:iCs/>
      <w:color w:val="1326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69" w:lineRule="auto" w:after="160"/>
    </w:pPr>
    <w:rPr>
      <w:rFonts w:ascii="Arial" w:hAnsi="Arial" w:cs="Arial" w:eastAsia="Arial"/>
      <w:b/>
      <w:bCs/>
      <w:color w:val="13263F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disnat.com/Forms/Prospectus/Apotex%20Health%20Corp.%20-%20Preliminary%20Base%20PREP%20Prospectus%20%28EN%2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y metas de management en cuatro días</dc:title>
  <dc:subject/>
  <dc:creator>Sol D’Antin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